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0D" w:rsidRPr="0047460D" w:rsidRDefault="0047460D" w:rsidP="0047460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47460D">
        <w:rPr>
          <w:rFonts w:ascii="Times New Roman" w:eastAsia="Times New Roman" w:hAnsi="Times New Roman" w:cs="Times New Roman"/>
          <w:lang w:eastAsia="zh-CN"/>
        </w:rPr>
        <w:t>Załącznik 3 do SWZ</w:t>
      </w:r>
    </w:p>
    <w:p w:rsidR="0047460D" w:rsidRPr="0047460D" w:rsidRDefault="0047460D" w:rsidP="0047460D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</w:p>
    <w:p w:rsidR="0047460D" w:rsidRPr="0047460D" w:rsidRDefault="0047460D" w:rsidP="0047460D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zh-CN"/>
        </w:rPr>
      </w:pPr>
      <w:r w:rsidRPr="0047460D">
        <w:rPr>
          <w:rFonts w:ascii="Calibri" w:eastAsia="Times New Roman" w:hAnsi="Calibri" w:cs="Times New Roman"/>
          <w:b/>
          <w:sz w:val="24"/>
          <w:szCs w:val="24"/>
          <w:lang w:eastAsia="zh-CN"/>
        </w:rPr>
        <w:t xml:space="preserve">SPECYFIKACJA TECHNICZNA OFEROWANYCH ŁADOWAREK </w:t>
      </w:r>
    </w:p>
    <w:p w:rsidR="0047460D" w:rsidRPr="0047460D" w:rsidRDefault="0047460D" w:rsidP="0047460D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i/>
          <w:lang w:eastAsia="zh-CN"/>
        </w:rPr>
      </w:pPr>
    </w:p>
    <w:p w:rsidR="0047460D" w:rsidRPr="0047460D" w:rsidRDefault="0047460D" w:rsidP="0047460D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i/>
          <w:lang w:eastAsia="zh-CN"/>
        </w:rPr>
      </w:pPr>
    </w:p>
    <w:p w:rsidR="0047460D" w:rsidRPr="0047460D" w:rsidRDefault="0047460D" w:rsidP="0047460D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lang w:eastAsia="zh-CN"/>
        </w:rPr>
      </w:pPr>
      <w:r w:rsidRPr="0047460D">
        <w:rPr>
          <w:rFonts w:ascii="Calibri" w:eastAsia="Times New Roman" w:hAnsi="Calibri" w:cs="Times New Roman"/>
          <w:lang w:eastAsia="zh-CN"/>
        </w:rPr>
        <w:t xml:space="preserve">UWAGA: Niniejszą Specyfikację należy wypełnić i załączyć wraz z formularzem ofertowym.  </w:t>
      </w:r>
      <w:r w:rsidRPr="0047460D">
        <w:rPr>
          <w:rFonts w:ascii="Calibri" w:eastAsia="Times New Roman" w:hAnsi="Calibri" w:cs="Times New Roman"/>
          <w:b/>
          <w:lang w:eastAsia="zh-CN"/>
        </w:rPr>
        <w:t>Brak złożenia wraz z ofertą niniejszego dokumentu skutkować będzie odrzuceniem oferty.</w:t>
      </w:r>
    </w:p>
    <w:p w:rsidR="0047460D" w:rsidRPr="0047460D" w:rsidRDefault="0047460D" w:rsidP="004746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7460D" w:rsidRPr="0047460D" w:rsidRDefault="0047460D" w:rsidP="004746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7460D" w:rsidRPr="0047460D" w:rsidRDefault="0047460D" w:rsidP="004746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8959" w:type="dxa"/>
        <w:tblInd w:w="108" w:type="dxa"/>
        <w:tblLook w:val="04A0" w:firstRow="1" w:lastRow="0" w:firstColumn="1" w:lastColumn="0" w:noHBand="0" w:noVBand="1"/>
      </w:tblPr>
      <w:tblGrid>
        <w:gridCol w:w="433"/>
        <w:gridCol w:w="5342"/>
        <w:gridCol w:w="1625"/>
        <w:gridCol w:w="1559"/>
      </w:tblGrid>
      <w:tr w:rsidR="0047460D" w:rsidRPr="0047460D" w:rsidTr="00043EA8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I.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STACJE ŁADOWANIA ZAJEZDNIOWEGO: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Times New Roman" w:hAnsi="Calibri" w:cs="Times New Roman"/>
                <w:b/>
                <w:sz w:val="18"/>
                <w:szCs w:val="18"/>
                <w:lang w:eastAsia="zh-CN"/>
              </w:rPr>
              <w:t>Potwierdzenie spełnienia wymagań</w:t>
            </w:r>
          </w:p>
          <w:p w:rsidR="0047460D" w:rsidRPr="0047460D" w:rsidRDefault="0047460D" w:rsidP="0047460D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Times New Roman" w:hAnsi="Calibri" w:cs="Times New Roman"/>
                <w:b/>
                <w:sz w:val="18"/>
                <w:szCs w:val="18"/>
                <w:lang w:eastAsia="zh-CN"/>
              </w:rPr>
              <w:t>(tak/nie)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Times New Roman" w:hAnsi="Calibri" w:cs="Times New Roman"/>
                <w:b/>
                <w:sz w:val="18"/>
                <w:szCs w:val="18"/>
                <w:lang w:eastAsia="zh-CN"/>
              </w:rPr>
              <w:t xml:space="preserve">Parametry oferowanych ładowarek 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Times New Roman" w:hAnsi="Calibri" w:cs="Times New Roman"/>
                <w:sz w:val="18"/>
                <w:szCs w:val="18"/>
                <w:lang w:eastAsia="zh-CN"/>
              </w:rPr>
              <w:t>(UWAGA: należy wpisać faktyczne wartości parametrów oferowanej stacji / ładowarek )</w:t>
            </w:r>
          </w:p>
        </w:tc>
      </w:tr>
      <w:tr w:rsidR="0047460D" w:rsidRPr="0047460D" w:rsidTr="00043EA8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Dostawa, montaż i uruchomienie 2 stacji wolnego ładowania prądem stałym, dwuwyjściowych, o mocy wyjściowej minimum 120 kW(2*60) każda – na terenie Zajezdni Miejskiego Zakładu Komunikacji Wejherowo Sp. z o.o.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val="en-US" w:eastAsia="zh-CN"/>
              </w:rPr>
              <w:t>84-200, ul. Tartaczna 2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zh-CN"/>
              </w:rPr>
            </w:pP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Ogólne założenia budowanych stacji ładowania autobusów elektrycznych: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197" w:hanging="197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Stacje ładowania przeznaczone będą do uzupełniania energii w bateriach autobusów elektrycznych. Zainstalowane zostaną na terenie zajezdni autobusowej we wskazanych lokalizacjach. 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197" w:hanging="197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Wszystkie stacje ładowania znajdujące się na terenie Zajezdni MZK muszą być wyposażone w moduł umożliwiający komunikację z systemem nadzoru poprzez sieci LAN/WLAN (tryb pracy 802.1 I/n/Ac; pasmo 2,4 GHz )/GSM (minimum 3G) z analogicznym pierwszeństwem wyboru kanału komunikacji. 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197" w:hanging="197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Stacje ładowania mają posiadać wysoki stopień uniwersalności i nie mogą ograniczać się do ładowania wyłącznie wybranej grupy/modelu/producenta autobusów elektrycznych. Na dzień dostawy stacje ładowania muszą spełniać wszystkie wymagane prawem certyfikaty, standardy, normy w zakresie ładowania autobusów elektrycznych, interfejsów, połączenia i komunikacji stacji ładowania z autobusem i bezpieczeństwa. Konsultacje, ustalenia techniczne oraz ryzyka z nimi związane leżą po stronie Wykonawców. 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197" w:hanging="197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Dostarczane stacje mają charakteryzować się wysokim stopniem bezpieczeństwa, wysoką sprawnością i bezawaryjnością, możliwością nieprzerwanej pracy w warunkach środowiskowych i klimatycznych dla miasta Wejherowo, minimalną emisją zakłóceń elektromagnetycznych oraz minimalną emisją hałasu, brakiem niekorzystnego oddziaływania na sieć zasilającą oraz zautomatyzowaną obsługą (bez zbędnej ingerencji obsługi lub kierowcy pojazdu).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197" w:hanging="197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Zamawiający wymaga, aby dla wszystkich stacji ładowania zajezdniowego Wykonawca zapewnił poniższe czasy reakcji na usuwanie usterek i awarii od chwili zgłoszenia dla poszczególnych zdarzeń: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W godz. 6-15 w dni powszednie – rozpoczęcie naprawy ładowarki do 2 godzin; w przypadku braku możliwości naprawy w ciągu 48 godzin – ostateczna naprawa i uruchomienie ładowarki w terminie do 3 dni. W przypadku nie wykonania naprawy w tym terminie Wykonawca dostarczy ładowarkę zastępczą o nie gorszych parametrach. W </w:t>
            </w: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lastRenderedPageBreak/>
              <w:t>pozostałych godzinach i w dni świąteczne terminy reakcji serwisu liczą się od godz. 6 kolejnego dnia roboczego.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7460D" w:rsidRPr="0047460D" w:rsidTr="00043EA8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A.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WYMAGANIA OGÓLNE: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</w:p>
        </w:tc>
      </w:tr>
      <w:tr w:rsidR="0047460D" w:rsidRPr="0047460D" w:rsidTr="00043EA8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Stacja ładowania ma posiadać konstrukcję wolnostojącego, autonomicznego urządzenia.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Stacja ładowania będzie znajdować się na terenie otwartym, w związku z czym jej konstrukcja ma uniemożliwiać ingerencję osób trzecich oraz być wandaloodporna.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Stacja ładowania ma być urządzeniem: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680" w:hanging="34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- stacjonarnym – czyli zainstalowanym na fundamencie,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680" w:hanging="34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Długość złącza DC: &lt;3,5 m&gt;.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 w:hanging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Obudowa stacji ładowania ma być wykonana z blachy ocynkowanej, nierdzewnej lub aluminiowej, malowanej proszkowo.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 w:hanging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Stacja ładowania będzie obsługiwała jedno stanowisko ładowania.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 w:hanging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Stacja ładowania musi zapewniać stopień ochronny minimum IP44 oraz IK8 wg. PN-EN 61851-23.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 w:hanging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Zakres temperatury zewnętrznej: od -25°C do +40°C.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 w:hanging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Stacja ładowania ma posiadać możliwość zdalnych aktualizacji i zdalnego serwisowania urządzenia.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 w:hanging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Stacja ładowania musi posiadać układ chłodzenia powietrzem lub cieczą zapewniający stabilną pracę i dogodne uwarunkowania temperaturowe urządzenia.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 w:hanging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Stacja ładowania ma być wyposażona w licznik energii elektrycznej zgodny z wymogami operatora sieci energetycznej i zapewniający zdalny odczyt zużycia energii przez Zamawiającego (dopuszcza się miernik zgodny z dyrektywą MiD zainstalowany przed stacją na przyłączu).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 w:hanging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Napięcie na wyjściu złącza ładowania powinno pojawić się dopiero po poprawnym podłączeniu i komunikacji autobusu ze stacją ładowania oraz zablokowaniu mechanicznym, uniemożliwiającym rozłączenie w trakcie ładowania.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 w:hanging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Po podłączeniu autobusu do stacji ładowania uruchomienie procesu ładowania musi odbywać się samoczynnie bez konieczności ingerencji użytkownika/kierowcy autobusu w stację ładowania.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 w:hanging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Stacja ładowania musi być wyposażona w przycisk awaryjny dający możliwość odłączenia zasilania do pojazdu.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 w:hanging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Stacja ładowania ma posiadać konstrukcję modułową. 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 w:hanging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Stacja ładowania musi posiadać deklarację zgodności producenta, poświadczającą: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34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a) kompatybilność elektromagnetyczną (EMC) klasa A zgodna z IEC 61000-6-4 (emisja) oraz IEC 61000-6-2 (odporność), 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34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b) zgodność z dyrektywą nisko-napięciową.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 w:hanging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Komunikacja pomiędzy stacją ładowania i autobusem musi odbywać się zgodnie ze standardami IEC 61851-1/23 / ISO15118 Ed1. 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 w:hanging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Stacja ładowania musi być wyposażona w sygnalizację LED informującą co najmniej o trwającym procesie ładowania, statusie naładowanej baterii pojazdu oraz ewentualnych awariach.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 w:hanging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Stacja ładowania musi posiadać wbudowany moduł łączności GSM.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 w:hanging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Stacja ładowania musi być wyposażona w kontrolę rezystancji izolacji (IMD).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 w:hanging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Stacja ładowania musi być wyposażona w interfejs ładowania CCS (Combo2, Type2/Mode4) zgodnie z IEC 62196-3.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 w:hanging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Dopuszczalny poziom emitowanego hałasu nie wyższy niż 60 dB, w każdym czasie i zakresie pracy. 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39" w:hanging="339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Kolor obudowy: do uzgodnienia z Zamawiającym po podpisaniu umowy.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60D" w:rsidRPr="0047460D" w:rsidRDefault="0047460D" w:rsidP="0047460D">
            <w:pPr>
              <w:spacing w:after="0" w:line="240" w:lineRule="auto"/>
              <w:ind w:left="34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60D" w:rsidRPr="0047460D" w:rsidRDefault="0047460D" w:rsidP="0047460D">
            <w:pPr>
              <w:spacing w:after="0" w:line="240" w:lineRule="auto"/>
              <w:ind w:left="34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7460D" w:rsidRPr="0047460D" w:rsidTr="00043EA8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B.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WYMAGANE PARAMETRY ELEKTRYCZNE: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</w:p>
        </w:tc>
      </w:tr>
      <w:tr w:rsidR="0047460D" w:rsidRPr="0047460D" w:rsidTr="00043EA8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1) Sprawność energetyczna na poziomie minimum 93%.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2) Napięcie wyjściowe stacji ładowania: 200-800V DC.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lastRenderedPageBreak/>
              <w:t>3) Zapewniona izolacja galwaniczna na poziomie min. 2,5kV.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4) Współczynnik mocy większy bądź równy 0,95.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5) Moc wyjściowa stacji ładowania niemniejsza niż 120kW (2*60).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6) Napięcie zasilania dla stacji ładowania: 3x400V AC, 50Hz.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7460D" w:rsidRPr="0047460D" w:rsidTr="00043EA8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 xml:space="preserve">III. 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SYSTEM MONITOROWANIA STACJI ŁADOWANIA AUTOBUSÓW ELEKTRYCZNYCH (MIASTO, ZAJEZDNIA).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</w:p>
        </w:tc>
      </w:tr>
      <w:tr w:rsidR="0047460D" w:rsidRPr="0047460D" w:rsidTr="00043EA8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1. Dostawa i montaż w miejscu wskazanym przez Zamawiającego systemu do monitorowania i zarządzania stacjami ładowania, zwany dalej Systemem. 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System będzie zainstalowany na serwerze dostarczonym przez Wykonawcę w ramach zamówienia.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2. Wszystkie stacja ładowania pojazdów oraz System dostarczany przez Wykonawcę będzie zgodny z protokołem OCPP 1.6 (JSON)  – http://www.openchargealliance.org/protocols/ocpp/ocpp-16/. Umożliwi to w przyszłości podłączanie przez Zamawiającego innych stacji do Systemu.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3. Zgodnie z OCPP 1.6 (JSON)  System będzie rejestrował informacje w relacyjnej bazie danych, która stanowić będzie element Systemu.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4. System będzie posiadać konsolę graficzną dla operatorów (użytkowników Zamawiającego), która będzie zrealizowana w technologii web-owej. Na stacjach roboczych operatorów Systemu nie będzie wymagana instalacja żadnych dodatkowych komponentów – konsola będzie w całości uruchamiana w przeglądarce web-owej. Zamawiający nie dopuszcza rozwiązania, zarówno serwera Systemu, jak i jego konsoli zrealizowanych w sposób, który ogranicza ich uruchamianie do wybranego środowiska systemowego. Wszystkie komponenty Systemu muszą mieć możliwość instalacji i uruchomienia co najmniej w środowiskach Microsoft Windows jak i Linux.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5. Konsola Systemu umożliwiać będzie: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97" w:hanging="283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Podgląd stanu wszystkich stacji ładowania monitorowanych przez System z podziałem: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743" w:hanging="284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Urządzenia włączone i gotowe do ładowania,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743" w:hanging="284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Urządzenia ładujące w danym momencie,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743" w:hanging="284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Urządzenia niedostępne (wyłączone) – urządzenia, które wyślą status o niedostępności, lub nie przesyłają żadnych informacji do serwera Systemu przez określony w konfiguracji czas,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743" w:hanging="284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Urządzenia, które są w stanie błędu – prześlą status o wystąpieniu błędu i pozostają w tym stanie do czasu przesłania statusu informującego o usunięciu błędu;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97" w:hanging="283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Przeglądanie zarejestrowanych sesji ładowania wraz z następującymi parametrami: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Data i czas rozpoczęcia sesji ładowania,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Data i czas zakończenia sesji ładowania,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Czas trwania sesji ładowania,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Wartość licznika energii wyjściowej, dla początku sesji ładowania,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Wartość licznika energii wyjściowej, dla końca sesji ładowania,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Łączna energia pobrana przez pojazd w czasie sesji ładowania – wyjściowa,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Łączna energia pobrana przez stacje ładowania w czasie sesji ładowania – wejściowa,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Początkowy poziom naładowania baterii trakcyjnych (SoC) ładowanego pojazdu,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Końcowy poziom naładowania baterii trakcyjnych (SoC) ładowanego pojazdu,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Ilość energii przekazanej do pojazdu, wyrażona w procentach, jako różnica pomiędzy początkowym i końcowym poziomem naładowania baterii trakcyjnej (SoC),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Identyfikator pojazdu przedstawiony jako numer boczny </w:t>
            </w: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lastRenderedPageBreak/>
              <w:t>pojazdu (numer identyfikacyjny stosowany przez Zamawiającego),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Powód zakończenia ładowania,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Identyfikator gniazda ładowania,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Wykresy zawierające informacje o zmieniających się parametrach ładowania, przesyłanych okresowo przez stacje ładowania w trakcie procesu ładowania: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1211" w:hanging="36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napięcie i prąd wyjściowy,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1211" w:hanging="36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SoC,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1211" w:hanging="36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moc chwilowa wyjściowa,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1211" w:hanging="36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temperatura wewnątrz stacji ładowania oraz złącza CCS2 w przypadku jego zastosowania.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27" w:hanging="227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6. System musi umożliwić operatorom eksport danych z wszystkich raportów dostępnych w Systemie. System musi umożliwić co najmniej eksport danych w formacie csv z uwzględnieniem nagłówków kolumn. Eksport danych musi uwzględniać aktualne filtrowanie i sortowanie raportów lub list.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7. System musi posiadać co najmniej następujące raporty: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Lista sesji ładowania wraz z parametrami zarejestrowanymi w kontekście każdej sesji ładowania,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Lista sesji ładowania z podziałem na każdy ładowany pojazd elektryczny,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781" w:hanging="284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Sumaryczna energia pobrana przez stacje ładowania w określonym czasie,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781" w:hanging="284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Sumaryczna energia pobrana przez pojazdy elektryczne w określonym czasie.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8. Zarządzanie uprawnieniami operatorów.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97" w:hanging="283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System musi mieć możliwość przypisania jednej z 3 roli do każdego konta operatora Systemu.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59" w:hanging="283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System musi posiadać następujące role: 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781" w:hanging="284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Operator standardowy – tylko podgląd informacji,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781" w:hanging="284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Operator zaawansowany – podgląd i możliwość konfiguracji Systemu w zakresie zarządzania stacjami ładowania (dodawanie, modyfikacja),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781" w:hanging="284"/>
              <w:contextualSpacing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Administrator – pełne uprawnienia do podglądu i modyfikacji wszystkich parametrów Systemu.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9. System będzie gromadził wszystkie notyfikacje (zwanym alertami) generowane przez stacje ładowania i na podstawie reguł określonych przez Zamawiającego będzie przekazywał na bieżąco notyfikacje ze stacji ładowania do wskazanych operatorów za pomocą poczty elektronicznej.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10. System  wraz  z  jego  komponentami  (w  tym  baza  danych)  zostanie  dostarczony z niezbędnymi  licencjami  umożliwiającymi  użytkowanie  Systemu  przez  Zamawiającego w pełnym zakresie w odniesieniu do wszystkich dostarczonych stacji oraz  z uwzględnieniem następujących parametrów: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639" w:hanging="284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Maksymalnie 10 kont operatorów Systemu,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639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Możliwość równoczesnego przesyłania informacji zgodnie z OCPP 1.6 (JSON)  do 2 instancji serwerów Systemu. Podstawowa instancja serwera Systemu jest nadrzędna i realizuje wszystkie wymagania odnośnie Systemu, w tym zarządzanie stacjami ładowania. Druga instancja pełni tylko rolę monitorującą – pozwala monitorować stan stacji ładowania i przeglądać rejestrowanie zdarzenia bez możliwości zarządzania nimi – np. wykonania zdalnego restartu.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11. Zamawiający zezwala na monitorowanie urządzeń przez Wykonawcę w okresie gwarancji.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12. W ramach serwisu gwarancyjnego oprogramowania Wykonawca: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639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 a) wykona na miejscu u Zamawiającego przeglądy gwarancyjne oprogramowania i baz danych w ilości minimum jeden przegląd/rok. Przeglądy gwarancyjne obejmują poprawę, kontrolę, konfiguracji i poprawności działania </w:t>
            </w: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lastRenderedPageBreak/>
              <w:t xml:space="preserve">oprogramowania, 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639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b) usunie awarie programowe, 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639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c) usunie błędy baz danych (w tym brak spójności i integralności danych, itp.) niepolegające na błędnej obsłudze, 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639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d) zapewni prawidłowe (nieograniczone czasowo i funkcjonalnie) działanie systemu, 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639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e) zapewni w godzinach roboczych telefoniczne konsultacje w sprawie rozwiązywania problemów niezakwalifikowanych jako awarie.</w:t>
            </w:r>
            <w:r w:rsidRPr="0047460D">
              <w:rPr>
                <w:rFonts w:ascii="Calibri" w:eastAsia="Calibri" w:hAnsi="Calibri" w:cs="Calibri"/>
                <w:lang w:eastAsia="zh-CN"/>
              </w:rPr>
              <w:t xml:space="preserve"> </w:t>
            </w: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Zamawiający określa   limit konsultacji jako nie więcej niż 50 godzin w roku, z możliwością wykorzystania  50% z całego  limitu w pierwszych 12 miesiącach funkcjonowania systemu.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639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f) za wszelkie prace gwarancyjne wraz z dojazdem, delegacją itp. Wykonawca nie pobiera dodatkowych opłat,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639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g) usunięcie usterki zakończy się raportem usunięcia usterki sporządzonym w dwóch egzemplarzach i zawierającym informacje: 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922" w:hanging="283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Data i godzina zgłoszenia usterki 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922" w:hanging="283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Imię i Nazwisko zgłaszającego 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922" w:hanging="283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Nazwa systemu 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922" w:hanging="283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Moduł/funkcja systemu </w:t>
            </w:r>
          </w:p>
          <w:p w:rsidR="0047460D" w:rsidRPr="0047460D" w:rsidRDefault="0047460D" w:rsidP="0047460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922" w:hanging="283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Imię, Nazwisko, telefon osoby/osób kontaktowych ze strony Zamawiającego.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7460D" w:rsidRPr="0047460D" w:rsidTr="00043EA8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lastRenderedPageBreak/>
              <w:t>IV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SZKOLENIA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</w:p>
        </w:tc>
      </w:tr>
      <w:tr w:rsidR="0047460D" w:rsidRPr="0047460D" w:rsidTr="00043EA8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1) cykl szkoleń w siedzibie zamawiającego dla pracowników Zamawiającego, zajmujących się eksploatacją i nadzorem nad eksploatacją systemów. 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2) szkolenie w grupach tematycznych: 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781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a) szkolenie serwisowe z zakresu obsługi oraz diagnostyki sytemu, 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781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b) szkolenie użytkowe z zakresu bieżącej eksploatacji systemu ładowania mające na celu przygotowanie pracowników do obsługi systemu ładowania w szczególności systemu monitoringu stacji ładowania, 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781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c) szkolenie dla administratorów systemu monitoringu stacji ładowania. 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355" w:hanging="355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3) Wykonawca przeprowadzi szkolenia w siedzibie Zamawiającego.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 xml:space="preserve">4) Szczegółowy zakres, plan, termin szkoleń oraz liczbę uczestników Wykonawca uzgodni z Zamawiającym. Wykonawca zobowiązuje się dostarczyć na potrzeby szkolenia niezbędny do jego realizacji sprzęt oraz materiały. Pomieszczenie udostępnia Zamawiający. 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5) Po zakończeniu szkoleń personel Zamawiającego będzie w stanie przeprowadzić diagnostykę działania systemu i określić zakres czynności niezbędnych do przeprowadzenia napraw, a także wprowadzania zmian i korekt.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7460D" w:rsidRPr="0047460D" w:rsidTr="00043EA8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V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SERWIS POGWARANCYJNY I CZĘŚCI ZAMIENNE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</w:p>
        </w:tc>
      </w:tr>
      <w:tr w:rsidR="0047460D" w:rsidRPr="0047460D" w:rsidTr="00043EA8">
        <w:trPr>
          <w:trHeight w:val="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1) Gwarancja dostaw części zamiennych przez okres 7 lat od upływu terminu gwarancji.</w:t>
            </w:r>
          </w:p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 w:rsidRPr="0047460D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2) GWARANCJA SERWISU Zamawiający wymaga aby po zakończeniu okresu gwarancji w ciągu 7 kolejnych lat Wykonawca świadczył usługi serwisu pogwarancyjnego urządzeń dostarczonych w ramach niniejszego zamówienia. Zamawiający dopuszcza przeszkolenie pracowników MZK Wejherowo sp. z o.o. przez Wykonawcę w zakresie pozwalającym na wykonywanie wszystkich czynności serwisowych w okresie pogwarancyjnym.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460D" w:rsidRPr="0047460D" w:rsidRDefault="0047460D" w:rsidP="0047460D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</w:tbl>
    <w:p w:rsidR="0047460D" w:rsidRPr="0047460D" w:rsidRDefault="0047460D" w:rsidP="0047460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7460D" w:rsidRPr="0047460D" w:rsidRDefault="0047460D" w:rsidP="0047460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6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</w:t>
      </w:r>
    </w:p>
    <w:p w:rsidR="0047460D" w:rsidRPr="0047460D" w:rsidRDefault="0047460D" w:rsidP="0047460D">
      <w:pPr>
        <w:tabs>
          <w:tab w:val="left" w:pos="5400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47460D">
        <w:rPr>
          <w:rFonts w:ascii="Times New Roman" w:eastAsia="Times New Roman" w:hAnsi="Times New Roman" w:cs="Times New Roman"/>
          <w:szCs w:val="24"/>
          <w:lang w:eastAsia="pl-PL"/>
        </w:rPr>
        <w:t>/pieczątka i podpis osoby upoważnionej do reprezentowania Wykonawcy/</w:t>
      </w:r>
    </w:p>
    <w:p w:rsidR="00611EFE" w:rsidRDefault="00452836">
      <w:bookmarkStart w:id="0" w:name="_GoBack"/>
      <w:bookmarkEnd w:id="0"/>
    </w:p>
    <w:sectPr w:rsidR="00611EFE" w:rsidSect="0047460D">
      <w:foot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836" w:rsidRDefault="00452836" w:rsidP="0047460D">
      <w:pPr>
        <w:spacing w:after="0" w:line="240" w:lineRule="auto"/>
      </w:pPr>
      <w:r>
        <w:separator/>
      </w:r>
    </w:p>
  </w:endnote>
  <w:endnote w:type="continuationSeparator" w:id="0">
    <w:p w:rsidR="00452836" w:rsidRDefault="00452836" w:rsidP="0047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9649557"/>
      <w:docPartObj>
        <w:docPartGallery w:val="Page Numbers (Bottom of Page)"/>
        <w:docPartUnique/>
      </w:docPartObj>
    </w:sdtPr>
    <w:sdtContent>
      <w:p w:rsidR="0047460D" w:rsidRPr="0047460D" w:rsidRDefault="0047460D" w:rsidP="0047460D">
        <w:pPr>
          <w:jc w:val="center"/>
          <w:rPr>
            <w:rFonts w:ascii="Bookman Old Style" w:eastAsia="Arial" w:hAnsi="Bookman Old Style" w:cs="Arial"/>
            <w:i/>
            <w:sz w:val="20"/>
            <w:szCs w:val="20"/>
            <w:lang w:val="pl" w:eastAsia="pl-PL"/>
          </w:rPr>
        </w:pPr>
        <w:r w:rsidRPr="0047460D">
          <w:rPr>
            <w:rFonts w:ascii="Bookman Old Style" w:eastAsia="Arial" w:hAnsi="Bookman Old Style" w:cs="Arial"/>
            <w:i/>
            <w:sz w:val="20"/>
            <w:szCs w:val="20"/>
            <w:lang w:val="pl" w:eastAsia="pl-PL"/>
          </w:rPr>
          <w:t>Specyfikacja Warunków Zamówienia – znak sprawy: MZK/08/08/2021</w:t>
        </w:r>
      </w:p>
      <w:p w:rsidR="0047460D" w:rsidRDefault="004746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7460D" w:rsidRDefault="004746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836" w:rsidRDefault="00452836" w:rsidP="0047460D">
      <w:pPr>
        <w:spacing w:after="0" w:line="240" w:lineRule="auto"/>
      </w:pPr>
      <w:r>
        <w:separator/>
      </w:r>
    </w:p>
  </w:footnote>
  <w:footnote w:type="continuationSeparator" w:id="0">
    <w:p w:rsidR="00452836" w:rsidRDefault="00452836" w:rsidP="00474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FF6"/>
    <w:multiLevelType w:val="multilevel"/>
    <w:tmpl w:val="20884C56"/>
    <w:lvl w:ilvl="0">
      <w:start w:val="1"/>
      <w:numFmt w:val="bullet"/>
      <w:lvlText w:val="-"/>
      <w:lvlJc w:val="left"/>
      <w:pPr>
        <w:ind w:left="1179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547F9F"/>
    <w:multiLevelType w:val="multilevel"/>
    <w:tmpl w:val="756AC06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E6608A1"/>
    <w:multiLevelType w:val="multilevel"/>
    <w:tmpl w:val="6100AEDE"/>
    <w:lvl w:ilvl="0">
      <w:start w:val="1"/>
      <w:numFmt w:val="bullet"/>
      <w:lvlText w:val="-"/>
      <w:lvlJc w:val="left"/>
      <w:pPr>
        <w:ind w:left="157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C547D7"/>
    <w:multiLevelType w:val="multilevel"/>
    <w:tmpl w:val="80CCAC4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FC48B3"/>
    <w:multiLevelType w:val="multilevel"/>
    <w:tmpl w:val="7986861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76B6862"/>
    <w:multiLevelType w:val="multilevel"/>
    <w:tmpl w:val="A91C2274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6906B5F"/>
    <w:multiLevelType w:val="hybridMultilevel"/>
    <w:tmpl w:val="D9AA0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57282"/>
    <w:multiLevelType w:val="hybridMultilevel"/>
    <w:tmpl w:val="E3584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C191B"/>
    <w:multiLevelType w:val="multilevel"/>
    <w:tmpl w:val="AC0490D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836BFA"/>
    <w:multiLevelType w:val="multilevel"/>
    <w:tmpl w:val="3394FAF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6D72B2"/>
    <w:multiLevelType w:val="multilevel"/>
    <w:tmpl w:val="BEA0A5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D4356"/>
    <w:multiLevelType w:val="multilevel"/>
    <w:tmpl w:val="E084DD9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0D"/>
    <w:rsid w:val="0018622F"/>
    <w:rsid w:val="001D0592"/>
    <w:rsid w:val="00207123"/>
    <w:rsid w:val="00452836"/>
    <w:rsid w:val="0047460D"/>
    <w:rsid w:val="004769E5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9C417E-25FC-48B5-B415-1A7306B3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60D"/>
  </w:style>
  <w:style w:type="paragraph" w:styleId="Stopka">
    <w:name w:val="footer"/>
    <w:basedOn w:val="Normalny"/>
    <w:link w:val="StopkaZnak"/>
    <w:uiPriority w:val="99"/>
    <w:unhideWhenUsed/>
    <w:rsid w:val="00474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2019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2021-12-29T07:17:00Z</dcterms:created>
  <dcterms:modified xsi:type="dcterms:W3CDTF">2021-12-29T07:19:00Z</dcterms:modified>
</cp:coreProperties>
</file>