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25" w:rsidRPr="00C82FE7" w:rsidRDefault="000B4925" w:rsidP="000B4925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</w:t>
      </w:r>
      <w:bookmarkStart w:id="0" w:name="_GoBack"/>
      <w:bookmarkEnd w:id="0"/>
      <w:r w:rsidRPr="00C82FE7">
        <w:rPr>
          <w:rStyle w:val="Heading4NotBold"/>
          <w:rFonts w:cs="Times New Roman"/>
          <w:iCs/>
          <w:color w:val="auto"/>
        </w:rPr>
        <w:t>znik nr 4 do SWZ</w:t>
      </w:r>
    </w:p>
    <w:p w:rsidR="000B4925" w:rsidRPr="00C82FE7" w:rsidRDefault="000B4925" w:rsidP="000B4925">
      <w:pPr>
        <w:spacing w:before="240" w:line="276" w:lineRule="auto"/>
        <w:ind w:right="0"/>
        <w:jc w:val="center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ZESTAWIENIE GRANICZNYCH PARAMETRÓW TECHNICZNO-UŻYTKOWYCH AUTOBUSU, KTÓREGO WYKONAWCA UŻYJE DO</w:t>
      </w:r>
      <w:r>
        <w:rPr>
          <w:rStyle w:val="Heading4NotBold"/>
          <w:rFonts w:cs="Times New Roman"/>
          <w:color w:val="auto"/>
          <w:szCs w:val="24"/>
        </w:rPr>
        <w:t> </w:t>
      </w:r>
      <w:r w:rsidRPr="00C82FE7">
        <w:rPr>
          <w:rStyle w:val="Heading4NotBold"/>
          <w:rFonts w:cs="Times New Roman"/>
          <w:color w:val="auto"/>
          <w:szCs w:val="24"/>
        </w:rPr>
        <w:t>REALIZACJI PRZEDMIOTU ZAMÓWIENIA</w:t>
      </w:r>
    </w:p>
    <w:p w:rsidR="000B4925" w:rsidRPr="00C82FE7" w:rsidRDefault="000B4925" w:rsidP="000B4925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4156"/>
        <w:gridCol w:w="2131"/>
        <w:gridCol w:w="2258"/>
      </w:tblGrid>
      <w:tr w:rsidR="000B4925" w:rsidRPr="00C82FE7" w:rsidTr="00346BC0">
        <w:trPr>
          <w:tblHeader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Parametr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0B4925" w:rsidRPr="00C82FE7" w:rsidRDefault="000B4925" w:rsidP="00346BC0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Określenie spełniania warunku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Uwagi Wykonawcy dot. parametrów</w:t>
            </w:r>
          </w:p>
        </w:tc>
      </w:tr>
      <w:tr w:rsidR="000B4925" w:rsidRPr="00C82FE7" w:rsidTr="00346BC0">
        <w:trPr>
          <w:tblHeader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ind w:left="-113" w:right="-100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1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:rsidR="000B4925" w:rsidRPr="00C82FE7" w:rsidRDefault="000B4925" w:rsidP="00346BC0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2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0B4925" w:rsidRPr="00C82FE7" w:rsidRDefault="000B4925" w:rsidP="00346BC0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3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0B4925" w:rsidRPr="00C82FE7" w:rsidRDefault="000B4925" w:rsidP="00346BC0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4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</w:p>
        </w:tc>
        <w:tc>
          <w:tcPr>
            <w:tcW w:w="4157" w:type="dxa"/>
            <w:vAlign w:val="center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Marka autobusu/typ</w:t>
            </w:r>
          </w:p>
        </w:tc>
        <w:tc>
          <w:tcPr>
            <w:tcW w:w="2131" w:type="dxa"/>
            <w:vAlign w:val="center"/>
          </w:tcPr>
          <w:p w:rsidR="000B4925" w:rsidRPr="00C82FE7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  <w:tc>
          <w:tcPr>
            <w:tcW w:w="2258" w:type="dxa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  <w:r>
              <w:rPr>
                <w:rFonts w:cs="Times New Roman"/>
                <w:b w:val="0"/>
                <w:color w:val="auto"/>
              </w:rPr>
              <w:br/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</w:t>
            </w:r>
          </w:p>
        </w:tc>
        <w:tc>
          <w:tcPr>
            <w:tcW w:w="4157" w:type="dxa"/>
            <w:vAlign w:val="center"/>
          </w:tcPr>
          <w:p w:rsidR="000B4925" w:rsidRPr="00C82FE7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Midibus miejski niskopodłogowy</w:t>
            </w:r>
          </w:p>
        </w:tc>
        <w:tc>
          <w:tcPr>
            <w:tcW w:w="2131" w:type="dxa"/>
            <w:vAlign w:val="center"/>
          </w:tcPr>
          <w:p w:rsidR="000B4925" w:rsidRPr="00C82FE7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C82FE7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Moc silnika – co najmniej 215 KM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4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Silnik spełnia normy czystości spalin co najmniej EURO 3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5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Chłodzenie silnika - cieczą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6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Skrzynia biegów - automatyczna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jaka: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7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Długość – co najmniej 12 m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8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System indywidualnego otwierania drzwi przez pasażera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9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Liczba miejsc – co najmniej 85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10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Miejsca siedzące – w liczbie co najmniej 27 siedzeń typu miejskiego (w tym nie więcej niż 2 straponteny), zastosowana tapicerka nie może zawierać logotypów, ani grafik miejskich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11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Liczba drzwi dla pasażerów – 3, uruchamianych mechanicznie, zdalnie sterowanych przez kierowcę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1618D5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1618D5">
              <w:rPr>
                <w:rFonts w:cs="Times New Roman"/>
                <w:b w:val="0"/>
                <w:color w:val="auto"/>
              </w:rPr>
              <w:t>12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Rozmieszczenie drzwi – 1. drzwi przed pierwszą osią, 2. drzwi pomiędzy pierwszą i drugą osią, 3. drzwi za ostatnią osią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  <w:r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Szerokość drzwi w świetle – co najmniej 1100 mm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14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Poziom podłogi – maksymalnie 360 mm od poziomu jezdni w pierwszych i drugich drzwiach (bez stopni wejściowych)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15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Miejsce na wózek, rower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16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Rampa (pochylnia) dla wózków – w 2. drzwiach, o nośności co najmniej 250 kg </w:t>
            </w:r>
            <w:r w:rsidRPr="00AF2E91">
              <w:rPr>
                <w:rFonts w:cs="Times New Roman"/>
                <w:b w:val="0"/>
                <w:color w:val="auto"/>
              </w:rPr>
              <w:lastRenderedPageBreak/>
              <w:t>(nie dopuszcza się stosowania urządzeń przenośnych)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17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Liczba okien otwieranych w części pasażerskiej – co najmniej 3, uchylne lub przesuwne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jakie: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18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Kasownik biletów papierowych – elektroniczny z jednakowym systemem kodowania dla danego pojazdu – 2 szt. 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19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Kasownik biletów elektronicznych EMtest EM316i lub równoważny – 3 szt., drukarka termiczną EMtest EM316ip lub równoważny, komputer pokładowy EMtest MIJOLA 126i KWEgc lub równoważny – 1 szt., antena GPS – 1 szt. Kasowniki muszą być wyposażone w co najmniej 4 sloty modułu SAM oraz 1 slot modułu GPRS – oprogramowanie informatyczne dostarczy MZK Wejherowo na podstawie odrębnej umowy, oprogramowanie może sterować wyświetlaczami zewnętrznymi i wewnętrznymi, montaż w uzgodnieniu z MZK Wejherowo. Urządzenia równoważne muszą zapewnić funkcjonowanie w „Systemie pobierania opłat bezkontaktową kartą elektroniczną w Wejherowie”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20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Wyświetlacze zewnętrzne:</w:t>
            </w:r>
          </w:p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- przedni firmy Mobitec lub równoważny: o wymiarach co najmniej 112 x 16 punktów, wykonany w technologii mozaikowej (klapkowej), podświetlany diodami LED lub w całości wykonany z diod LED w kolorze bursztynowym lub białym, prezentujący numer linii i przystanek docelowy – zaprogramowany zgodnie z wytycznymi MZK Wejherowo;</w:t>
            </w:r>
          </w:p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– boczny firmy Mobitec lub równoważny: o wymiarach co najmniej 84 x 16 punktów, wykonany </w:t>
            </w:r>
            <w:r w:rsidRPr="00AF2E91">
              <w:rPr>
                <w:rFonts w:cs="Times New Roman"/>
                <w:b w:val="0"/>
                <w:color w:val="auto"/>
              </w:rPr>
              <w:lastRenderedPageBreak/>
              <w:t>w technologii mozaikowej (klapkowej), podświetlany diodami LED lub w całości wykonany z diod LED w kolorze bursztynowym lub białym, prezentujący numer linii i przystanek docelowy – zaprogramowany zgodnie z wytycznymi MZK Wejherowo;</w:t>
            </w:r>
          </w:p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 tylny firmy Mobitec lub równoważny: o wymiarach co najmniej 28 x 16 punktów (prezentujący numer linii) lub 84 x 16 (prezentujący numer linii i przystanek docelowy), wykonany w technologii mozaikowej (klapkowej), podświetlany diodami LED lub w całości wykonany z diod LED w kolorze bursztynowym lub białym – zaprogramowany zgodnie z wytycznymi MZK Wejherowo;</w:t>
            </w:r>
          </w:p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Wyświetlacze zewnętrzne powinny być zintegrowane z wymaganym komputerem pokładowym, także w przypadku urządzeń równoważnych. 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21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Wyświetlacz wewnętrzny EMtest 2Ti lub równoważny wykonany w technologii diod LED w kolorze czerwonym, dwuwierszowy, umożliwiający prezentację numeru linii, przystanku docelowego, przystanku bieżącego lub wyświetlacz z ekranem LCD, umożliwiający prezentację numeru linii, przystanku docelowego, przystanku bieżącego. Wyświetlacz wewnętrzny powinien być zintegrowany z wymaganym komputerem pokładowym i zapewniać współpracę z „Systemem pobierania opłat przy pomocy bezkontaktowej karty elektronicznej w Wejherowie”; 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22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System głosowej zapowiedzi przystanków system audio do zapowiedzi głosowych przystanków – co najmniej 4 </w:t>
            </w:r>
            <w:r w:rsidRPr="00AF2E91">
              <w:rPr>
                <w:rFonts w:cs="Times New Roman"/>
                <w:b w:val="0"/>
                <w:color w:val="auto"/>
              </w:rPr>
              <w:lastRenderedPageBreak/>
              <w:t>głośniki i wzmacniacz, umożliwiające współpracę z komputerem pokładowym i „Systemem pobierania opłat przy pomocy bezkontaktowej karty elektronicznej w Wejherowie”;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23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Radiotelefon – pracujący w strukturze sieci łączności radiowej MZK Wejherowo w Wejherowie, w paśmie 163,35 MHz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24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Monitoring wnętrza całego pojazdu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25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Klimatyzacja przedziału pasażerskiego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26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Kolorystyka zewnętrzna – biało-niebiesko-biało-granatowa (niebieski – FSO L-62, biały – RAL 9016, granatowy – Honda B-38 lub za zgodą MZK Wejherowo – kolory zbliżone), układ malowania (rozmieszczenie kolorów) uzgodniony z MZK Wejherowo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C82FE7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27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Ramki na ogłoszenia tzw. OWZ – 2 szt. A4 (jedna umieszczona po lewej stronie pojazdu, pomiędzy oknami, w miejscu na wózki i rowery, druga – po prawej stronie pojazdu między pierwszymi, a drugimi drzwiami) i 1 szt. A3 (umieszczona na ściance oddzielającej kabinę kierowcy od przestrzeni pasażerskiej)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0B4925" w:rsidRPr="00C82FE7" w:rsidTr="00346BC0">
        <w:tc>
          <w:tcPr>
            <w:tcW w:w="516" w:type="dxa"/>
            <w:vAlign w:val="center"/>
          </w:tcPr>
          <w:p w:rsidR="000B4925" w:rsidRPr="00E17D48" w:rsidRDefault="000B4925" w:rsidP="00346BC0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28</w:t>
            </w:r>
          </w:p>
        </w:tc>
        <w:tc>
          <w:tcPr>
            <w:tcW w:w="4157" w:type="dxa"/>
            <w:vAlign w:val="center"/>
          </w:tcPr>
          <w:p w:rsidR="000B4925" w:rsidRPr="00AF2E91" w:rsidRDefault="000B4925" w:rsidP="00346BC0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kabina kierowcy – typu półzamkniętego tj. zabudowa drzwi kabiny kierowcy w postaci szyby oddzielającej od przestrzeni pasażerskiej, z wycięciem na sprzedaż biletów;</w:t>
            </w:r>
          </w:p>
        </w:tc>
        <w:tc>
          <w:tcPr>
            <w:tcW w:w="2131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0B4925" w:rsidRPr="00AF2E91" w:rsidRDefault="000B4925" w:rsidP="00346BC0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</w:tbl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  <w:sz w:val="20"/>
        </w:rPr>
      </w:pPr>
      <w:r w:rsidRPr="00C82FE7">
        <w:rPr>
          <w:rStyle w:val="Heading4NotBold"/>
          <w:rFonts w:cs="Times New Roman"/>
          <w:color w:val="auto"/>
          <w:sz w:val="20"/>
        </w:rPr>
        <w:t>*niepotrzebne skreślić</w:t>
      </w: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UWAGA:</w:t>
      </w: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Wykonawca jest zobowiązany do:</w:t>
      </w: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3 – dokonania odpowiednich skreśleń w pozycjach 2 – 2</w:t>
      </w:r>
      <w:r>
        <w:rPr>
          <w:rStyle w:val="Heading4NotBold"/>
          <w:rFonts w:cs="Times New Roman"/>
          <w:color w:val="auto"/>
        </w:rPr>
        <w:t>7</w:t>
      </w:r>
    </w:p>
    <w:p w:rsidR="000B4925" w:rsidRDefault="000B4925" w:rsidP="000B492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4 – wypełnia w pozycjach: 1,3,4,6,7,9,10</w:t>
      </w:r>
      <w:r>
        <w:rPr>
          <w:rStyle w:val="Heading4NotBold"/>
          <w:rFonts w:cs="Times New Roman"/>
          <w:color w:val="auto"/>
        </w:rPr>
        <w:t>, 16</w:t>
      </w:r>
    </w:p>
    <w:p w:rsidR="000B4925" w:rsidRDefault="000B4925" w:rsidP="000B4925">
      <w:pPr>
        <w:ind w:right="0"/>
        <w:rPr>
          <w:rStyle w:val="Heading4NotBold"/>
          <w:rFonts w:cs="Times New Roman"/>
          <w:color w:val="auto"/>
        </w:rPr>
      </w:pPr>
    </w:p>
    <w:p w:rsidR="000B4925" w:rsidRPr="00C82FE7" w:rsidRDefault="000B4925" w:rsidP="000B4925">
      <w:pPr>
        <w:ind w:right="0"/>
        <w:rPr>
          <w:rStyle w:val="Heading4NotBold"/>
          <w:rFonts w:cs="Times New Roman"/>
          <w:color w:val="auto"/>
        </w:rPr>
      </w:pPr>
    </w:p>
    <w:p w:rsidR="000B4925" w:rsidRPr="00F70F40" w:rsidRDefault="000B4925" w:rsidP="000B4925">
      <w:pPr>
        <w:tabs>
          <w:tab w:val="clear" w:pos="360"/>
        </w:tabs>
        <w:suppressAutoHyphens/>
        <w:spacing w:line="360" w:lineRule="auto"/>
        <w:ind w:right="0"/>
        <w:jc w:val="right"/>
        <w:textAlignment w:val="baseline"/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</w:pPr>
      <w:r w:rsidRPr="00F70F40"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  <w:t>….………………………………………</w:t>
      </w:r>
    </w:p>
    <w:p w:rsidR="000B4925" w:rsidRPr="00F70F40" w:rsidRDefault="000B4925" w:rsidP="000B4925">
      <w:pPr>
        <w:tabs>
          <w:tab w:val="clear" w:pos="360"/>
        </w:tabs>
        <w:suppressAutoHyphens/>
        <w:spacing w:line="360" w:lineRule="auto"/>
        <w:ind w:left="4956" w:right="0"/>
        <w:jc w:val="right"/>
        <w:textAlignment w:val="baseline"/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</w:pPr>
      <w:r w:rsidRPr="00F70F40">
        <w:rPr>
          <w:rFonts w:ascii="Arial" w:eastAsia="Lucida Sans Unicode" w:hAnsi="Arial" w:cs="Tahoma"/>
          <w:b w:val="0"/>
          <w:bCs w:val="0"/>
          <w:color w:val="auto"/>
          <w:kern w:val="1"/>
          <w:sz w:val="18"/>
          <w:szCs w:val="18"/>
          <w:lang w:eastAsia="ar-SA"/>
        </w:rPr>
        <w:t xml:space="preserve">  </w:t>
      </w:r>
      <w:r w:rsidRPr="00F70F40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 xml:space="preserve">(podpisy </w:t>
      </w:r>
      <w:r w:rsidRPr="00F70F40">
        <w:rPr>
          <w:rFonts w:ascii="Arial" w:hAnsi="Arial"/>
          <w:b w:val="0"/>
          <w:i/>
          <w:color w:val="auto"/>
          <w:kern w:val="1"/>
          <w:sz w:val="16"/>
          <w:szCs w:val="16"/>
          <w:lang w:eastAsia="ar-SA"/>
        </w:rPr>
        <w:t xml:space="preserve">w formie elektronicznej </w:t>
      </w:r>
      <w:r w:rsidRPr="00F70F40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>lub w postaci elektronicznej  opatrzonej podpisem zaufanym lub podpisem osobistym)</w:t>
      </w:r>
    </w:p>
    <w:p w:rsidR="00382C37" w:rsidRDefault="00382C37"/>
    <w:sectPr w:rsidR="00382C37" w:rsidSect="000B4925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9B" w:rsidRDefault="00E8639B" w:rsidP="000B4925">
      <w:r>
        <w:separator/>
      </w:r>
    </w:p>
  </w:endnote>
  <w:endnote w:type="continuationSeparator" w:id="0">
    <w:p w:rsidR="00E8639B" w:rsidRDefault="00E8639B" w:rsidP="000B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794921"/>
      <w:docPartObj>
        <w:docPartGallery w:val="Page Numbers (Bottom of Page)"/>
        <w:docPartUnique/>
      </w:docPartObj>
    </w:sdtPr>
    <w:sdtContent>
      <w:p w:rsidR="000B4925" w:rsidRDefault="000B49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4925" w:rsidRDefault="000B4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9B" w:rsidRDefault="00E8639B" w:rsidP="000B4925">
      <w:r>
        <w:separator/>
      </w:r>
    </w:p>
  </w:footnote>
  <w:footnote w:type="continuationSeparator" w:id="0">
    <w:p w:rsidR="00E8639B" w:rsidRDefault="00E8639B" w:rsidP="000B4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5"/>
    <w:rsid w:val="000B4925"/>
    <w:rsid w:val="00382C37"/>
    <w:rsid w:val="00E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0CFCE-B9C8-4158-90DF-79973182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925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0B4925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0B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925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925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925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925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2023-05-23T08:24:00Z</dcterms:created>
  <dcterms:modified xsi:type="dcterms:W3CDTF">2023-05-23T08:25:00Z</dcterms:modified>
</cp:coreProperties>
</file>