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73" w:rsidRPr="00C82FE7" w:rsidRDefault="00A10673" w:rsidP="00A10673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A10673" w:rsidRPr="00C82FE7" w:rsidRDefault="00A10673" w:rsidP="00A10673">
      <w:pPr>
        <w:pStyle w:val="Annexetitre"/>
        <w:rPr>
          <w:caps/>
          <w:sz w:val="20"/>
          <w:szCs w:val="20"/>
          <w:u w:val="none"/>
        </w:rPr>
      </w:pPr>
    </w:p>
    <w:p w:rsidR="00A10673" w:rsidRPr="00C82FE7" w:rsidRDefault="00A10673" w:rsidP="00A10673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</w:t>
      </w:r>
      <w:r w:rsidR="00D93205">
        <w:rPr>
          <w:rFonts w:cs="Times New Roman"/>
          <w:b w:val="0"/>
          <w:color w:val="auto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][ ][ ][ ][ </w:t>
      </w:r>
      <w:bookmarkStart w:id="0" w:name="_GoBack"/>
      <w:bookmarkEnd w:id="0"/>
      <w:r w:rsidRPr="00C82FE7">
        <w:rPr>
          <w:rFonts w:cs="Times New Roman"/>
          <w:b w:val="0"/>
          <w:color w:val="auto"/>
          <w:sz w:val="20"/>
          <w:szCs w:val="20"/>
        </w:rPr>
        <w:t>]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A10673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A10673" w:rsidRPr="00C82FE7" w:rsidTr="00435067">
        <w:trPr>
          <w:trHeight w:val="485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A10673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A10673" w:rsidRPr="0005757B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10673" w:rsidRPr="0005757B" w:rsidRDefault="00A10673" w:rsidP="00435067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Świadczenie usług przewozowych na linii 3 brygada 1,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w sieci MZK Wejherowo od poniedziałku do piątku w dni powszednie, w okresie dwóch lat, jednym a</w:t>
            </w:r>
            <w:r w:rsidRPr="0005757B">
              <w:rPr>
                <w:b w:val="0"/>
                <w:bCs w:val="0"/>
              </w:rPr>
              <w:t xml:space="preserve">utobusem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miejskim </w:t>
            </w:r>
            <w:r w:rsidRPr="0005757B">
              <w:rPr>
                <w:b w:val="0"/>
                <w:bCs w:val="0"/>
              </w:rPr>
              <w:t>przegubowym,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niskopodłogowym o długości co najmniej 17,</w:t>
            </w:r>
            <w:r w:rsidRPr="0005757B">
              <w:rPr>
                <w:b w:val="0"/>
                <w:bCs w:val="0"/>
              </w:rPr>
              <w:t>5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m,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A10673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A10673" w:rsidRPr="00122D40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10673" w:rsidRPr="00122D40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A10673" w:rsidRPr="00122D40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MZK/03/02/2021                                             </w:t>
            </w:r>
          </w:p>
        </w:tc>
      </w:tr>
    </w:tbl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A10673" w:rsidRPr="00C82FE7" w:rsidTr="00435067">
        <w:trPr>
          <w:trHeight w:val="1372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rPr>
          <w:trHeight w:val="2002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82FE7">
              <w:rPr>
                <w:sz w:val="20"/>
                <w:szCs w:val="20"/>
              </w:rPr>
              <w:t>defaworyzowanych</w:t>
            </w:r>
            <w:proofErr w:type="spellEnd"/>
            <w:r w:rsidRPr="00C82FE7">
              <w:rPr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A10673" w:rsidRPr="00C82FE7" w:rsidRDefault="00A10673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A10673" w:rsidRPr="00C82FE7" w:rsidTr="00435067">
        <w:tc>
          <w:tcPr>
            <w:tcW w:w="9289" w:type="dxa"/>
            <w:gridSpan w:val="2"/>
            <w:shd w:val="clear" w:color="auto" w:fill="BFBFBF"/>
          </w:tcPr>
          <w:p w:rsidR="00A10673" w:rsidRPr="00C82FE7" w:rsidRDefault="00A10673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82FE7">
        <w:rPr>
          <w:rFonts w:cs="Times New Roman"/>
          <w:i/>
          <w:color w:val="auto"/>
          <w:sz w:val="20"/>
          <w:szCs w:val="20"/>
        </w:rPr>
        <w:t>ych</w:t>
      </w:r>
      <w:proofErr w:type="spellEnd"/>
      <w:r w:rsidRPr="00C82FE7">
        <w:rPr>
          <w:rFonts w:cs="Times New Roman"/>
          <w:i/>
          <w:color w:val="auto"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A10673" w:rsidRPr="00C82FE7" w:rsidRDefault="00A10673" w:rsidP="00A10673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A10673" w:rsidRPr="00C82FE7" w:rsidRDefault="00A10673" w:rsidP="00A106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A10673" w:rsidRPr="00C82FE7" w:rsidRDefault="00A10673" w:rsidP="00A1067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A10673" w:rsidRPr="00C82FE7" w:rsidRDefault="00A10673" w:rsidP="00A10673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A10673" w:rsidRPr="00C82FE7" w:rsidRDefault="00A10673" w:rsidP="00A1067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A10673" w:rsidRPr="00C82FE7" w:rsidRDefault="00A10673" w:rsidP="00A106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A10673" w:rsidRPr="00C82FE7" w:rsidRDefault="00A10673" w:rsidP="00A106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3" w:name="_DV_M1266"/>
      <w:bookmarkEnd w:id="3"/>
    </w:p>
    <w:p w:rsidR="00A10673" w:rsidRPr="00C82FE7" w:rsidRDefault="00A10673" w:rsidP="00A106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A10673" w:rsidRPr="00C82FE7" w:rsidRDefault="00A10673" w:rsidP="00A106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A10673" w:rsidRPr="00C82FE7" w:rsidRDefault="00A10673" w:rsidP="00A1067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to dotyczy.</w:t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A10673" w:rsidRPr="00C82FE7" w:rsidTr="004350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A10673" w:rsidRPr="00C82FE7" w:rsidRDefault="00A10673" w:rsidP="00435067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A10673" w:rsidRPr="00C82FE7" w:rsidRDefault="00A10673" w:rsidP="00A1067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A10673" w:rsidRPr="00C82FE7" w:rsidRDefault="00A10673" w:rsidP="00A10673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10673" w:rsidRPr="00C82FE7" w:rsidRDefault="00A10673" w:rsidP="00435067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A10673" w:rsidRPr="00C82FE7" w:rsidTr="004350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A10673" w:rsidRPr="00C82FE7" w:rsidRDefault="00A10673" w:rsidP="00435067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A10673" w:rsidRPr="00C82FE7" w:rsidTr="004350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A10673" w:rsidRPr="00C82FE7" w:rsidRDefault="00A10673" w:rsidP="00A10673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A10673" w:rsidRPr="00C82FE7" w:rsidTr="0043506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A10673" w:rsidRPr="00C82FE7" w:rsidTr="004350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A10673" w:rsidRPr="00C82FE7" w:rsidTr="004350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A10673" w:rsidRPr="00C82FE7" w:rsidTr="00435067">
        <w:trPr>
          <w:trHeight w:val="1316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A10673" w:rsidRPr="00C82FE7" w:rsidTr="00435067">
        <w:trPr>
          <w:trHeight w:val="1544"/>
        </w:trPr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A10673" w:rsidRPr="00C82FE7" w:rsidTr="004350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A10673" w:rsidRPr="00C82FE7" w:rsidTr="0043506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A10673" w:rsidRPr="00C82FE7" w:rsidRDefault="00A10673" w:rsidP="00A10673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A10673" w:rsidRPr="00C82FE7" w:rsidRDefault="00A10673" w:rsidP="00A10673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A10673" w:rsidRPr="00C82FE7" w:rsidTr="00435067">
        <w:tc>
          <w:tcPr>
            <w:tcW w:w="4606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A10673" w:rsidRPr="00C82FE7" w:rsidTr="00435067">
        <w:tc>
          <w:tcPr>
            <w:tcW w:w="4606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82FE7">
              <w:rPr>
                <w:rFonts w:cs="Times New Roman"/>
                <w:color w:val="auto"/>
                <w:sz w:val="20"/>
                <w:szCs w:val="20"/>
              </w:rPr>
              <w:t>ych</w:t>
            </w:r>
            <w:proofErr w:type="spellEnd"/>
            <w:r w:rsidRPr="00C82FE7">
              <w:rPr>
                <w:rFonts w:cs="Times New Roman"/>
                <w:color w:val="auto"/>
                <w:sz w:val="20"/>
                <w:szCs w:val="20"/>
              </w:rPr>
              <w:t>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10673" w:rsidRPr="00C82FE7" w:rsidTr="00435067">
              <w:tc>
                <w:tcPr>
                  <w:tcW w:w="1336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A10673" w:rsidRPr="00C82FE7" w:rsidTr="00435067">
              <w:tc>
                <w:tcPr>
                  <w:tcW w:w="1336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10673" w:rsidRPr="00C82FE7" w:rsidRDefault="00A10673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10673" w:rsidRPr="00C82FE7" w:rsidRDefault="00A10673" w:rsidP="00A10673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A10673" w:rsidRPr="00C82FE7" w:rsidRDefault="00A10673" w:rsidP="00A10673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A10673" w:rsidRPr="00C82FE7" w:rsidRDefault="00A10673" w:rsidP="00A1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A10673" w:rsidRPr="00C82FE7" w:rsidRDefault="00A10673" w:rsidP="00A10673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A10673" w:rsidRPr="00C82FE7" w:rsidTr="00435067">
        <w:tc>
          <w:tcPr>
            <w:tcW w:w="4644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10673" w:rsidRPr="00C82FE7" w:rsidRDefault="00A10673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A10673" w:rsidRPr="00C82FE7" w:rsidRDefault="00A10673" w:rsidP="00A10673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A10673" w:rsidRPr="00C82FE7" w:rsidRDefault="00A10673" w:rsidP="00A1067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A10673" w:rsidRPr="00C82FE7" w:rsidRDefault="00A10673" w:rsidP="00A1067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A10673" w:rsidRPr="00C82FE7" w:rsidRDefault="00A10673" w:rsidP="00A1067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A10673" w:rsidRPr="00C82FE7" w:rsidRDefault="00A10673" w:rsidP="00A1067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A10673" w:rsidRPr="00C82FE7" w:rsidRDefault="00A10673" w:rsidP="00A10673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A10673" w:rsidRPr="00C82FE7" w:rsidRDefault="00A10673" w:rsidP="00A10673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A10673" w:rsidRPr="00C82FE7" w:rsidRDefault="00A10673" w:rsidP="00A10673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611EFE" w:rsidRDefault="00D93205"/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73" w:rsidRDefault="00A10673" w:rsidP="00A10673">
      <w:r>
        <w:separator/>
      </w:r>
    </w:p>
  </w:endnote>
  <w:endnote w:type="continuationSeparator" w:id="0">
    <w:p w:rsidR="00A10673" w:rsidRDefault="00A10673" w:rsidP="00A1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316834"/>
      <w:docPartObj>
        <w:docPartGallery w:val="Page Numbers (Bottom of Page)"/>
        <w:docPartUnique/>
      </w:docPartObj>
    </w:sdtPr>
    <w:sdtContent>
      <w:p w:rsidR="00D93205" w:rsidRDefault="00D932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3205" w:rsidRDefault="00D932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73" w:rsidRDefault="00A10673" w:rsidP="00A10673">
      <w:r>
        <w:separator/>
      </w:r>
    </w:p>
  </w:footnote>
  <w:footnote w:type="continuationSeparator" w:id="0">
    <w:p w:rsidR="00A10673" w:rsidRDefault="00A10673" w:rsidP="00A10673">
      <w:r>
        <w:continuationSeparator/>
      </w:r>
    </w:p>
  </w:footnote>
  <w:footnote w:id="1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A10673" w:rsidRPr="003B6373" w:rsidRDefault="00A10673" w:rsidP="00A10673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10673" w:rsidRPr="003B6373" w:rsidRDefault="00A10673" w:rsidP="00A10673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10673" w:rsidRPr="003B6373" w:rsidRDefault="00A10673" w:rsidP="00A1067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10673" w:rsidRPr="003B6373" w:rsidRDefault="00A10673" w:rsidP="00A10673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10673" w:rsidRPr="003B6373" w:rsidRDefault="00A10673" w:rsidP="00A10673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/>
          <w:sz w:val="16"/>
          <w:szCs w:val="16"/>
        </w:rPr>
        <w:t>osób</w:t>
      </w:r>
      <w:bookmarkEnd w:id="1"/>
      <w:r w:rsidRPr="003B6373">
        <w:rPr>
          <w:rFonts w:ascii="Arial" w:hAnsi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/>
          <w:sz w:val="16"/>
          <w:szCs w:val="16"/>
        </w:rPr>
        <w:t>defaworyzowanych</w:t>
      </w:r>
      <w:proofErr w:type="spellEnd"/>
      <w:r w:rsidRPr="003B6373">
        <w:rPr>
          <w:rFonts w:ascii="Arial" w:hAnsi="Arial"/>
          <w:sz w:val="16"/>
          <w:szCs w:val="16"/>
        </w:rPr>
        <w:t>.</w:t>
      </w:r>
    </w:p>
  </w:footnote>
  <w:footnote w:id="10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/>
          <w:sz w:val="16"/>
          <w:szCs w:val="16"/>
        </w:rPr>
        <w:t>WSiSW</w:t>
      </w:r>
      <w:proofErr w:type="spellEnd"/>
      <w:r w:rsidRPr="003B6373"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/>
          <w:sz w:val="16"/>
          <w:szCs w:val="16"/>
        </w:rPr>
        <w:t xml:space="preserve"> (Dz.U. L 101 z 15.4.2011, s. 1).</w:t>
      </w:r>
    </w:p>
  </w:footnote>
  <w:footnote w:id="19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10673" w:rsidRPr="003B6373" w:rsidRDefault="00A10673" w:rsidP="00A10673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73"/>
    <w:rsid w:val="0018622F"/>
    <w:rsid w:val="001D0592"/>
    <w:rsid w:val="00207123"/>
    <w:rsid w:val="004769E5"/>
    <w:rsid w:val="00A10673"/>
    <w:rsid w:val="00D9320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8FFBA-F69D-4DD4-A5A0-DDA1D1E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673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0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A10673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106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673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10673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A10673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A1067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A10673"/>
    <w:rPr>
      <w:b/>
      <w:i/>
      <w:spacing w:val="0"/>
    </w:rPr>
  </w:style>
  <w:style w:type="paragraph" w:customStyle="1" w:styleId="Text1">
    <w:name w:val="Text 1"/>
    <w:basedOn w:val="Normalny"/>
    <w:rsid w:val="00A10673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A10673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A10673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A10673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A10673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A10673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A10673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A10673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A1067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10673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10673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A10673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20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20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20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20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4515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2021-02-23T12:01:00Z</dcterms:created>
  <dcterms:modified xsi:type="dcterms:W3CDTF">2021-02-23T12:18:00Z</dcterms:modified>
</cp:coreProperties>
</file>