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BB" w:rsidRPr="000862BB" w:rsidRDefault="000862BB" w:rsidP="000862BB">
      <w:pPr>
        <w:ind w:right="-286"/>
        <w:rPr>
          <w:rStyle w:val="Odwoaniedelikatne"/>
          <w:color w:val="000000" w:themeColor="text1"/>
        </w:rPr>
      </w:pPr>
      <w:r w:rsidRPr="000862BB">
        <w:rPr>
          <w:rStyle w:val="Odwoaniedelikatne"/>
          <w:color w:val="000000" w:themeColor="text1"/>
        </w:rPr>
        <w:t>Załącznik nr 5- Zestawienie granicznych parametrów techniczno-użytkowych autobusu</w:t>
      </w: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  <w:b/>
          <w:sz w:val="24"/>
          <w:szCs w:val="24"/>
        </w:rPr>
      </w:pPr>
      <w:r>
        <w:rPr>
          <w:rStyle w:val="Heading4NotBold"/>
          <w:b/>
          <w:sz w:val="24"/>
          <w:szCs w:val="24"/>
        </w:rPr>
        <w:t>ZESTAWIENIE GRANICZNYCH PARAMETRÓW TECHNICZNO-UŻYTKOWYCH AUTOBUSU, KTÓREGO WYKONAWCA UŻYJE DO REALIZACJI PRZEDMIOTU ZAMÓWIENIA</w:t>
      </w: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  <w:t>…..................................................                     dnia .............................................</w:t>
      </w: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  <w:t>/miejscowość/</w:t>
      </w: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/pieczątka nagłówkowa wykonawcy/</w:t>
      </w:r>
    </w:p>
    <w:p w:rsidR="000862BB" w:rsidRDefault="000862BB" w:rsidP="000862BB">
      <w:pPr>
        <w:ind w:right="-286"/>
        <w:rPr>
          <w:rStyle w:val="Heading4NotBold"/>
        </w:rPr>
      </w:pPr>
    </w:p>
    <w:tbl>
      <w:tblPr>
        <w:tblpPr w:leftFromText="141" w:rightFromText="141" w:vertAnchor="text" w:horzAnchor="page" w:tblpX="1309" w:tblpY="8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34"/>
        <w:gridCol w:w="1260"/>
        <w:gridCol w:w="3456"/>
      </w:tblGrid>
      <w:tr w:rsidR="000862BB" w:rsidTr="005E17A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Lp.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Parametry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Określenie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Spełniania warunku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Dane Wykonawcy dotyczące parametrów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3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4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Marka autobusu/typ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Podać: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 xml:space="preserve">Autobus miejski niskopodłogowy   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3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moc silnika – co najmniej 215 KM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4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Silnik spełnia normy czystości spalin co najmniej EURO  III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5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chłodzenie silnika – cieczą;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6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 xml:space="preserve">skrzynia biegów 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 jaka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7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długość – co najmniej 12m; ;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8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System otwierania drzwi przez pasażera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9</w:t>
            </w:r>
          </w:p>
        </w:tc>
        <w:tc>
          <w:tcPr>
            <w:tcW w:w="464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liczba miejsc ogółem – co najmniej 96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</w:t>
            </w:r>
          </w:p>
        </w:tc>
      </w:tr>
    </w:tbl>
    <w:p w:rsidR="000862BB" w:rsidRDefault="000862BB" w:rsidP="000862BB">
      <w:pPr>
        <w:ind w:right="-286"/>
        <w:rPr>
          <w:rStyle w:val="Heading4NotBold"/>
        </w:rPr>
      </w:pPr>
    </w:p>
    <w:tbl>
      <w:tblPr>
        <w:tblW w:w="97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576"/>
        <w:gridCol w:w="1260"/>
        <w:gridCol w:w="3483"/>
      </w:tblGrid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10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liczba miejsc siedzących – co najmniej 29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Podać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lastRenderedPageBreak/>
              <w:t>11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 xml:space="preserve">liczba drzwi dla pasażerów – co najmniej  3 uruchamianych mechanicznie, zdalnie sterowanych przez kierowcę, 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12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szerokość drzwi w świetle –  1100 mm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13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</w:rPr>
              <w:br/>
              <w:t>w pierwszych i drugich drzwiach oraz bez stopni poprzecznych wewnątrz pojazdu;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14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 xml:space="preserve">miejsce na wózek – co najmniej na dwa, naprzeciwko drugich drzwi, 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15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30"/>
              <w:rPr>
                <w:rStyle w:val="Heading4NotBold"/>
              </w:rPr>
            </w:pPr>
            <w:r>
              <w:rPr>
                <w:rStyle w:val="Heading4NotBold"/>
              </w:rPr>
              <w:t xml:space="preserve">liczba okien otwieranych w części pasażerskiej – co najmniej 4 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16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 xml:space="preserve">kasowniki biletów papierowych – elektroniczne z jednakowym dla danego pojazdu systemem kodowania, w liczbie 2 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17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>kasowniki biletów elektronicznych EM 316i lub równoważny co najmniej szt. 3 – do  „systemu pobierania opłat przy pomocy bezkontaktowej karty elektronicznej”, drukarkę termiczną EM 316ip lub równoważny 1 szt.  autokomputer MIJOLA 126i KWgc lub równoważny 1 szt., antena GPS 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464" w:type="dxa"/>
          </w:tcPr>
          <w:p w:rsidR="000862BB" w:rsidRDefault="000862BB" w:rsidP="005E17AC">
            <w:pPr>
              <w:ind w:left="-55" w:right="-286" w:firstLine="55"/>
              <w:rPr>
                <w:rStyle w:val="Heading4NotBold"/>
              </w:rPr>
            </w:pPr>
          </w:p>
          <w:p w:rsidR="000862BB" w:rsidRDefault="000862BB" w:rsidP="005E17AC">
            <w:pPr>
              <w:ind w:left="-55" w:right="-286" w:firstLine="55"/>
              <w:rPr>
                <w:rStyle w:val="Heading4NotBold"/>
              </w:rPr>
            </w:pPr>
          </w:p>
          <w:p w:rsidR="000862BB" w:rsidRDefault="000862BB" w:rsidP="005E17AC">
            <w:pPr>
              <w:ind w:left="-55" w:right="-286" w:firstLine="55"/>
              <w:rPr>
                <w:rStyle w:val="Heading4NotBold"/>
              </w:rPr>
            </w:pPr>
            <w:r>
              <w:rPr>
                <w:rStyle w:val="Heading4NotBold"/>
              </w:rPr>
              <w:t>18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informacja o linii:</w:t>
            </w:r>
          </w:p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>z przodu i z boku w postaci pełnowymiarowego wyświetlacza elektronicznego prezentującego numer linii i przystanek docelowy, z tyłu w postaci wyświetlacza elektronicznego prezentującego numer linii, wewnątrz pojazdu w postaci wyświetlacza elektronicznego prezentującego numer linii, przystanek docelowy i przystanek bieżący, współpracujący z autokomputerem MIJOLA 126i KWgc lub równoważny.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19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System  głosowej zapowiedzi przystanków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20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>radiotelefon – pracujący w strukturze sieci łączności radiowej MZK  w Wejherowie, w paśmie 163,35 MHz;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21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Monitoring i audio kabiny kierowcy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..........................................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lastRenderedPageBreak/>
              <w:t>22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Klimatyzacja przedziału pasażerskiego</w:t>
            </w: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..........................................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23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30"/>
              <w:jc w:val="both"/>
              <w:rPr>
                <w:rStyle w:val="Heading4NotBold"/>
              </w:rPr>
            </w:pPr>
            <w:r>
              <w:rPr>
                <w:rStyle w:val="Heading4NotBold"/>
              </w:rPr>
              <w:t>kolorystyka zewnętrzna – biało-niebieska (jasnoniebieski FSO-62 lub równoważny, biały RAL 9016 lub równoważny, ciemnoniebieski Honda B-38 lub równoważny), sposób malowania uzgodniony z Zamawiający.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  <w:tr w:rsidR="000862BB" w:rsidTr="005E17A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64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24</w:t>
            </w:r>
          </w:p>
        </w:tc>
        <w:tc>
          <w:tcPr>
            <w:tcW w:w="4576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Tabliczki na ogłoszenia: 2 szt. A4 i 1 szt. A3</w:t>
            </w: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</w:tc>
        <w:tc>
          <w:tcPr>
            <w:tcW w:w="1260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Spełnia/   nie spełnia*</w:t>
            </w:r>
          </w:p>
        </w:tc>
        <w:tc>
          <w:tcPr>
            <w:tcW w:w="3483" w:type="dxa"/>
          </w:tcPr>
          <w:p w:rsidR="000862BB" w:rsidRDefault="000862BB" w:rsidP="005E17AC">
            <w:pPr>
              <w:ind w:right="-286"/>
              <w:rPr>
                <w:rStyle w:val="Heading4NotBold"/>
              </w:rPr>
            </w:pPr>
          </w:p>
          <w:p w:rsidR="000862BB" w:rsidRDefault="000862BB" w:rsidP="005E17AC">
            <w:pPr>
              <w:ind w:right="-286"/>
              <w:rPr>
                <w:rStyle w:val="Heading4NotBold"/>
              </w:rPr>
            </w:pPr>
            <w:r>
              <w:rPr>
                <w:rStyle w:val="Heading4NotBold"/>
              </w:rPr>
              <w:t>--------------------------------</w:t>
            </w:r>
          </w:p>
        </w:tc>
      </w:tr>
    </w:tbl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*niepotrzebne skreślić</w:t>
      </w: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UWAGA:</w:t>
      </w: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Wykonawca jest zobowiązany do :</w:t>
      </w: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w kolumnie 3 – dokonania odpowiednich skreśleń w pozycjach 2 – 23</w:t>
      </w: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>w kolumnie 4 – wypełnia w pozycjach: 1,3,4,6,7,8,9,10</w:t>
      </w: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</w:p>
    <w:p w:rsidR="000862BB" w:rsidRDefault="000862BB" w:rsidP="000862BB">
      <w:pPr>
        <w:ind w:right="-286"/>
        <w:rPr>
          <w:rStyle w:val="Heading4NotBold"/>
        </w:rPr>
      </w:pP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</w:r>
      <w:r>
        <w:rPr>
          <w:rStyle w:val="Heading4NotBold"/>
        </w:rPr>
        <w:tab/>
        <w:t>.......................................................................................................................</w:t>
      </w:r>
    </w:p>
    <w:p w:rsidR="000862BB" w:rsidRDefault="000862BB" w:rsidP="000862BB">
      <w:pPr>
        <w:ind w:right="-286"/>
        <w:rPr>
          <w:rStyle w:val="Heading4NotBold"/>
        </w:rPr>
      </w:pPr>
      <w:bookmarkStart w:id="0" w:name="_GoBack"/>
      <w:bookmarkEnd w:id="0"/>
      <w:r>
        <w:rPr>
          <w:rStyle w:val="Heading4NotBold"/>
        </w:rPr>
        <w:tab/>
        <w:t>/pieczątka i podpis osoby upoważnionej do reprezentowania Wykonawcy/</w:t>
      </w:r>
    </w:p>
    <w:p w:rsidR="00611EFE" w:rsidRPr="000862BB" w:rsidRDefault="005F7D79" w:rsidP="000862BB"/>
    <w:sectPr w:rsidR="00611EFE" w:rsidRPr="000862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79" w:rsidRDefault="005F7D79" w:rsidP="000862BB">
      <w:r>
        <w:separator/>
      </w:r>
    </w:p>
  </w:endnote>
  <w:endnote w:type="continuationSeparator" w:id="0">
    <w:p w:rsidR="005F7D79" w:rsidRDefault="005F7D79" w:rsidP="0008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23523"/>
      <w:docPartObj>
        <w:docPartGallery w:val="Page Numbers (Bottom of Page)"/>
        <w:docPartUnique/>
      </w:docPartObj>
    </w:sdtPr>
    <w:sdtContent>
      <w:p w:rsidR="000862BB" w:rsidRDefault="0008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862BB" w:rsidRDefault="00086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79" w:rsidRDefault="005F7D79" w:rsidP="000862BB">
      <w:r>
        <w:separator/>
      </w:r>
    </w:p>
  </w:footnote>
  <w:footnote w:type="continuationSeparator" w:id="0">
    <w:p w:rsidR="005F7D79" w:rsidRDefault="005F7D79" w:rsidP="0008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BB"/>
    <w:rsid w:val="000862BB"/>
    <w:rsid w:val="0018622F"/>
    <w:rsid w:val="001D0592"/>
    <w:rsid w:val="00207123"/>
    <w:rsid w:val="004769E5"/>
    <w:rsid w:val="005F7D79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4A23-F6AF-4909-817F-F20F872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BB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862BB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0862BB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62B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2BB"/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2B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2BB"/>
    <w:rPr>
      <w:rFonts w:ascii="Times New Roman" w:eastAsia="Times New Roman" w:hAnsi="Times New Roman" w:cs="Arial"/>
      <w:b/>
      <w:bCs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2019-02-05T12:19:00Z</dcterms:created>
  <dcterms:modified xsi:type="dcterms:W3CDTF">2019-02-05T12:19:00Z</dcterms:modified>
</cp:coreProperties>
</file>